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493B4" w14:textId="0B2D9EB5" w:rsidR="001E54EA" w:rsidRPr="001E54EA" w:rsidRDefault="001E54EA" w:rsidP="001E54EA">
      <w:pPr>
        <w:widowControl w:val="0"/>
        <w:tabs>
          <w:tab w:val="right" w:pos="9781"/>
          <w:tab w:val="right" w:pos="13323"/>
        </w:tabs>
        <w:spacing w:after="0"/>
        <w:outlineLvl w:val="0"/>
        <w:rPr>
          <w:rFonts w:ascii="Arial" w:hAnsi="Arial" w:cs="Arial"/>
          <w:b/>
          <w:i/>
          <w:noProof/>
          <w:sz w:val="24"/>
          <w:szCs w:val="24"/>
        </w:rPr>
      </w:pPr>
      <w:r w:rsidRPr="001E54EA">
        <w:rPr>
          <w:rFonts w:ascii="Arial" w:hAnsi="Arial" w:cs="Arial"/>
          <w:b/>
          <w:noProof/>
          <w:sz w:val="24"/>
          <w:szCs w:val="24"/>
        </w:rPr>
        <w:t>3GPP TSG-RAN WG4 Meeting #116</w:t>
      </w:r>
      <w:r w:rsidRPr="001E54EA">
        <w:rPr>
          <w:rFonts w:ascii="Arial" w:hAnsi="Arial" w:cs="Arial"/>
          <w:b/>
          <w:i/>
          <w:noProof/>
          <w:sz w:val="24"/>
          <w:szCs w:val="24"/>
        </w:rPr>
        <w:tab/>
      </w:r>
      <w:r w:rsidRPr="001E54EA">
        <w:rPr>
          <w:rFonts w:ascii="Arial" w:hAnsi="Arial" w:cs="Arial"/>
          <w:b/>
          <w:noProof/>
          <w:sz w:val="24"/>
          <w:szCs w:val="24"/>
          <w:lang w:val="en-US"/>
        </w:rPr>
        <w:t>R4-25</w:t>
      </w:r>
      <w:r w:rsidR="008E578F">
        <w:rPr>
          <w:rFonts w:ascii="Arial" w:hAnsi="Arial" w:cs="Arial"/>
          <w:b/>
          <w:noProof/>
          <w:sz w:val="24"/>
          <w:szCs w:val="24"/>
          <w:lang w:val="en-US"/>
        </w:rPr>
        <w:t>10262</w:t>
      </w:r>
    </w:p>
    <w:p w14:paraId="6E98F6BC" w14:textId="510A6FA7" w:rsidR="007C7B50" w:rsidRPr="00D83D72" w:rsidRDefault="001E54EA" w:rsidP="007C7B50">
      <w:pPr>
        <w:pBdr>
          <w:bottom w:val="single" w:sz="4" w:space="1" w:color="auto"/>
        </w:pBdr>
        <w:rPr>
          <w:rFonts w:ascii="Arial" w:hAnsi="Arial" w:cs="Arial"/>
        </w:rPr>
      </w:pPr>
      <w:r w:rsidRPr="001E54EA">
        <w:rPr>
          <w:rFonts w:ascii="Arial" w:eastAsia="宋体" w:hAnsi="Arial" w:cs="Arial"/>
          <w:b/>
          <w:sz w:val="24"/>
          <w:szCs w:val="24"/>
          <w:lang w:eastAsia="zh-CN"/>
        </w:rPr>
        <w:t>Bengaluru, India, August 25</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xml:space="preserve"> – 29</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2025</w:t>
      </w:r>
    </w:p>
    <w:p w14:paraId="7D3E8C12" w14:textId="552F115D"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Repl</w:t>
      </w:r>
      <w:r w:rsidR="008D5327">
        <w:rPr>
          <w:rFonts w:ascii="Arial" w:hAnsi="Arial" w:cs="Arial"/>
        </w:rPr>
        <w:t>y</w:t>
      </w:r>
      <w:r w:rsidR="008D5327" w:rsidRPr="008D5327">
        <w:rPr>
          <w:rFonts w:ascii="Arial" w:hAnsi="Arial" w:cs="Arial"/>
        </w:rPr>
        <w:t xml:space="preserve"> LS on </w:t>
      </w:r>
      <w:r w:rsidR="00DA250A" w:rsidRPr="00DA250A">
        <w:rPr>
          <w:rFonts w:ascii="Arial" w:hAnsi="Arial" w:cs="Arial"/>
        </w:rPr>
        <w:t xml:space="preserve">requirements for phase continuity and power consistency for OCC with PUSCH in NR NTN Ph3 </w:t>
      </w:r>
    </w:p>
    <w:p w14:paraId="63907F74" w14:textId="4F410FDC"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DA250A" w:rsidRPr="00DA250A">
        <w:rPr>
          <w:rFonts w:ascii="Arial" w:hAnsi="Arial" w:cs="Arial"/>
        </w:rPr>
        <w:t>R4-2505305_R1-2503071</w:t>
      </w:r>
      <w:r w:rsidRPr="003566B4">
        <w:rPr>
          <w:rFonts w:ascii="Arial" w:hAnsi="Arial" w:cs="Arial"/>
        </w:rPr>
        <w:t xml:space="preserve">) </w:t>
      </w:r>
      <w:r w:rsidR="00DA250A" w:rsidRPr="00DA250A">
        <w:rPr>
          <w:rFonts w:ascii="Arial" w:hAnsi="Arial" w:cs="Arial"/>
        </w:rPr>
        <w:t>LS on requirements for the phase continuity and power consistency for OCC with PUSCH in NR NTN Ph3</w:t>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7DC126A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4141E1" w:rsidRPr="004141E1">
        <w:rPr>
          <w:rFonts w:ascii="Arial" w:hAnsi="Arial" w:cs="Arial"/>
          <w:bCs/>
          <w:lang w:eastAsia="zh-CN"/>
        </w:rPr>
        <w:t>NR_NTN_Ph3-Core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3F0D5020"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w:t>
      </w:r>
      <w:r w:rsidR="00DA250A">
        <w:rPr>
          <w:rFonts w:ascii="Arial" w:hAnsi="Arial" w:cs="Arial"/>
          <w:bCs/>
        </w:rPr>
        <w:t>1</w:t>
      </w:r>
    </w:p>
    <w:p w14:paraId="1D7E7C33" w14:textId="7CC7B16A"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6E96DC7A" w14:textId="5F79CB6A" w:rsidR="00735C02"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DA250A">
        <w:rPr>
          <w:rFonts w:cs="Arial"/>
          <w:b w:val="0"/>
          <w:noProof w:val="0"/>
          <w:sz w:val="20"/>
        </w:rPr>
        <w:t>1</w:t>
      </w:r>
      <w:r w:rsidRPr="00991C8A">
        <w:rPr>
          <w:rFonts w:cs="Arial"/>
          <w:b w:val="0"/>
          <w:noProof w:val="0"/>
          <w:sz w:val="20"/>
        </w:rPr>
        <w:t xml:space="preserve"> for </w:t>
      </w:r>
      <w:r w:rsidR="008D5327">
        <w:rPr>
          <w:rFonts w:cs="Arial"/>
          <w:b w:val="0"/>
          <w:noProof w:val="0"/>
          <w:sz w:val="20"/>
        </w:rPr>
        <w:t xml:space="preserve">the </w:t>
      </w:r>
      <w:r w:rsidRPr="00991C8A">
        <w:rPr>
          <w:rFonts w:cs="Arial"/>
          <w:b w:val="0"/>
          <w:noProof w:val="0"/>
          <w:sz w:val="20"/>
        </w:rPr>
        <w:t xml:space="preserve">LS </w:t>
      </w:r>
      <w:r w:rsidR="008D5327">
        <w:rPr>
          <w:rFonts w:cs="Arial"/>
          <w:b w:val="0"/>
          <w:noProof w:val="0"/>
          <w:sz w:val="20"/>
        </w:rPr>
        <w:t>in R</w:t>
      </w:r>
      <w:r w:rsidR="00DA250A">
        <w:rPr>
          <w:rFonts w:cs="Arial"/>
          <w:b w:val="0"/>
          <w:noProof w:val="0"/>
          <w:sz w:val="20"/>
        </w:rPr>
        <w:t>1</w:t>
      </w:r>
      <w:r w:rsidR="008D5327">
        <w:rPr>
          <w:rFonts w:cs="Arial"/>
          <w:b w:val="0"/>
          <w:noProof w:val="0"/>
          <w:sz w:val="20"/>
        </w:rPr>
        <w:t>-250</w:t>
      </w:r>
      <w:r w:rsidR="00DA250A">
        <w:rPr>
          <w:rFonts w:cs="Arial"/>
          <w:b w:val="0"/>
          <w:noProof w:val="0"/>
          <w:sz w:val="20"/>
        </w:rPr>
        <w:t>3071</w:t>
      </w:r>
      <w:r w:rsidRPr="00991C8A">
        <w:rPr>
          <w:rFonts w:cs="Arial"/>
          <w:b w:val="0"/>
          <w:noProof w:val="0"/>
          <w:sz w:val="20"/>
        </w:rPr>
        <w:t xml:space="preserve">. </w:t>
      </w:r>
    </w:p>
    <w:p w14:paraId="4180D4B4" w14:textId="191EE3CD" w:rsidR="008D5327" w:rsidRDefault="003408AA" w:rsidP="00122EBD">
      <w:pPr>
        <w:pStyle w:val="a3"/>
        <w:spacing w:afterLines="50" w:after="156"/>
        <w:jc w:val="both"/>
        <w:rPr>
          <w:rFonts w:cs="Arial"/>
          <w:b w:val="0"/>
          <w:noProof w:val="0"/>
          <w:sz w:val="20"/>
        </w:rPr>
      </w:pPr>
      <w:r>
        <w:rPr>
          <w:rFonts w:cs="Arial"/>
          <w:b w:val="0"/>
          <w:noProof w:val="0"/>
          <w:sz w:val="20"/>
        </w:rPr>
        <w:t xml:space="preserve">RAN4 has discussed </w:t>
      </w:r>
      <w:r w:rsidR="0088399A">
        <w:rPr>
          <w:rFonts w:cs="Arial"/>
          <w:b w:val="0"/>
          <w:noProof w:val="0"/>
          <w:sz w:val="20"/>
        </w:rPr>
        <w:t xml:space="preserve">the </w:t>
      </w:r>
      <w:r w:rsidR="00DA250A">
        <w:rPr>
          <w:rFonts w:cs="Arial"/>
          <w:b w:val="0"/>
          <w:noProof w:val="0"/>
          <w:sz w:val="20"/>
        </w:rPr>
        <w:t>phase continuity requirements</w:t>
      </w:r>
      <w:r w:rsidR="0088399A">
        <w:rPr>
          <w:rFonts w:cs="Arial"/>
          <w:b w:val="0"/>
          <w:noProof w:val="0"/>
          <w:sz w:val="20"/>
        </w:rPr>
        <w:t xml:space="preserve"> for </w:t>
      </w:r>
      <w:r w:rsidR="00DA250A">
        <w:rPr>
          <w:rFonts w:cs="Arial"/>
          <w:b w:val="0"/>
          <w:noProof w:val="0"/>
          <w:sz w:val="20"/>
        </w:rPr>
        <w:t>the duration of one OCC group with PUSCH</w:t>
      </w:r>
      <w:r w:rsidR="0088399A">
        <w:rPr>
          <w:rFonts w:cs="Arial"/>
          <w:b w:val="0"/>
          <w:noProof w:val="0"/>
          <w:sz w:val="20"/>
        </w:rPr>
        <w:t xml:space="preserve"> and </w:t>
      </w:r>
      <w:r w:rsidR="00735C02">
        <w:rPr>
          <w:rFonts w:cs="Arial"/>
          <w:b w:val="0"/>
          <w:noProof w:val="0"/>
          <w:sz w:val="20"/>
        </w:rPr>
        <w:t>confirmed</w:t>
      </w:r>
      <w:r w:rsidR="0088399A">
        <w:rPr>
          <w:rFonts w:cs="Arial"/>
          <w:b w:val="0"/>
          <w:noProof w:val="0"/>
          <w:sz w:val="20"/>
        </w:rPr>
        <w:t xml:space="preserve"> that the </w:t>
      </w:r>
      <w:r w:rsidR="00DA250A">
        <w:rPr>
          <w:rFonts w:cs="Arial"/>
          <w:b w:val="0"/>
          <w:noProof w:val="0"/>
          <w:sz w:val="20"/>
        </w:rPr>
        <w:t>same requirements for DMRS bundling</w:t>
      </w:r>
      <w:r w:rsidR="0088399A" w:rsidRPr="0088399A">
        <w:rPr>
          <w:rFonts w:cs="Arial"/>
          <w:b w:val="0"/>
          <w:noProof w:val="0"/>
          <w:sz w:val="20"/>
        </w:rPr>
        <w:t xml:space="preserve"> </w:t>
      </w:r>
      <w:r w:rsidR="0088399A">
        <w:rPr>
          <w:rFonts w:cs="Arial"/>
          <w:b w:val="0"/>
          <w:noProof w:val="0"/>
          <w:sz w:val="20"/>
        </w:rPr>
        <w:t>in</w:t>
      </w:r>
      <w:r w:rsidR="00DA250A">
        <w:rPr>
          <w:rFonts w:cs="Arial"/>
          <w:b w:val="0"/>
          <w:noProof w:val="0"/>
          <w:sz w:val="20"/>
        </w:rPr>
        <w:t xml:space="preserve"> Table 6.4.3.5-1 of TS 38.101-1</w:t>
      </w:r>
      <w:r w:rsidR="0088399A">
        <w:rPr>
          <w:rFonts w:cs="Arial"/>
          <w:b w:val="0"/>
          <w:noProof w:val="0"/>
          <w:sz w:val="20"/>
        </w:rPr>
        <w:t xml:space="preserve"> can still be </w:t>
      </w:r>
      <w:r w:rsidR="00DA250A">
        <w:rPr>
          <w:rFonts w:cs="Arial"/>
          <w:b w:val="0"/>
          <w:noProof w:val="0"/>
          <w:sz w:val="20"/>
        </w:rPr>
        <w:t xml:space="preserve">applied, i.e. </w:t>
      </w:r>
      <w:r w:rsidR="00DA250A" w:rsidRPr="00DA250A">
        <w:rPr>
          <w:rFonts w:cs="Arial"/>
          <w:b w:val="0"/>
          <w:noProof w:val="0"/>
          <w:sz w:val="20"/>
        </w:rPr>
        <w:t>≤25° between adjacent slots and ≤30° between the first slot and slot p</w:t>
      </w:r>
      <w:r w:rsidR="0088399A">
        <w:rPr>
          <w:rFonts w:cs="Arial"/>
          <w:b w:val="0"/>
          <w:noProof w:val="0"/>
          <w:sz w:val="20"/>
        </w:rPr>
        <w:t>.</w:t>
      </w:r>
    </w:p>
    <w:p w14:paraId="5115FB99" w14:textId="03D1C04E" w:rsidR="00DA250A" w:rsidRDefault="00DA250A" w:rsidP="00122EBD">
      <w:pPr>
        <w:pStyle w:val="a3"/>
        <w:spacing w:afterLines="50" w:after="156"/>
        <w:jc w:val="both"/>
        <w:rPr>
          <w:rFonts w:cs="Arial"/>
          <w:b w:val="0"/>
          <w:noProof w:val="0"/>
          <w:sz w:val="20"/>
        </w:rPr>
      </w:pPr>
      <w:r>
        <w:rPr>
          <w:rFonts w:cs="Arial"/>
          <w:b w:val="0"/>
          <w:noProof w:val="0"/>
          <w:sz w:val="20"/>
        </w:rPr>
        <w:t>The condition when above requirements are applicable can refer to Section 6.4.2.2 of TS 38.101-5</w:t>
      </w:r>
      <w:r w:rsidR="002A6604">
        <w:rPr>
          <w:rFonts w:cs="Arial"/>
          <w:b w:val="0"/>
          <w:noProof w:val="0"/>
          <w:sz w:val="20"/>
        </w:rPr>
        <w:t xml:space="preserve"> with one additional </w:t>
      </w:r>
      <w:r w:rsidR="00214DC3">
        <w:rPr>
          <w:rFonts w:cs="Arial"/>
          <w:b w:val="0"/>
          <w:noProof w:val="0"/>
          <w:sz w:val="20"/>
        </w:rPr>
        <w:t>item</w:t>
      </w:r>
      <w:bookmarkStart w:id="0" w:name="_GoBack"/>
      <w:bookmarkEnd w:id="0"/>
      <w:r>
        <w:rPr>
          <w:rFonts w:cs="Arial"/>
          <w:b w:val="0"/>
          <w:noProof w:val="0"/>
          <w:sz w:val="20"/>
        </w:rPr>
        <w:t>.</w:t>
      </w:r>
    </w:p>
    <w:tbl>
      <w:tblPr>
        <w:tblStyle w:val="af2"/>
        <w:tblW w:w="0" w:type="auto"/>
        <w:tblLook w:val="04A0" w:firstRow="1" w:lastRow="0" w:firstColumn="1" w:lastColumn="0" w:noHBand="0" w:noVBand="1"/>
      </w:tblPr>
      <w:tblGrid>
        <w:gridCol w:w="9631"/>
      </w:tblGrid>
      <w:tr w:rsidR="00DA250A" w14:paraId="7410E0FF" w14:textId="77777777" w:rsidTr="00E22E17">
        <w:tc>
          <w:tcPr>
            <w:tcW w:w="9631" w:type="dxa"/>
          </w:tcPr>
          <w:p w14:paraId="607B2C12" w14:textId="77777777" w:rsidR="00DA250A" w:rsidRDefault="00DA250A" w:rsidP="00E22E17">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0569EDB" w14:textId="77777777" w:rsidR="00DA250A" w:rsidRDefault="00DA250A" w:rsidP="00E22E17">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46191C1D" w14:textId="77777777" w:rsidR="00DA250A" w:rsidRDefault="00DA250A" w:rsidP="00E22E17">
            <w:pPr>
              <w:pStyle w:val="B1"/>
            </w:pPr>
            <w:r w:rsidRPr="009A2041">
              <w:rPr>
                <w:lang w:val="en-US"/>
              </w:rPr>
              <w:t>-</w:t>
            </w:r>
            <w:r w:rsidRPr="009A2041">
              <w:rPr>
                <w:lang w:val="en-US"/>
              </w:rPr>
              <w:tab/>
            </w:r>
            <w:r w:rsidRPr="00D102B8">
              <w:rPr>
                <w:lang w:eastAsia="ja-JP"/>
              </w:rPr>
              <w:t>Modulation order does not change.</w:t>
            </w:r>
          </w:p>
          <w:p w14:paraId="4C585562" w14:textId="77777777" w:rsidR="00DA250A" w:rsidRPr="00A7710B" w:rsidRDefault="00DA250A" w:rsidP="00E22E17">
            <w:pPr>
              <w:pStyle w:val="B1"/>
            </w:pPr>
            <w:r w:rsidRPr="009A2041">
              <w:rPr>
                <w:lang w:val="en-US"/>
              </w:rPr>
              <w:t>-</w:t>
            </w:r>
            <w:r w:rsidRPr="009A2041">
              <w:rPr>
                <w:lang w:val="en-US"/>
              </w:rPr>
              <w:tab/>
              <w:t>No network commanded TA takes effect</w:t>
            </w:r>
            <w:r w:rsidRPr="00A7710B">
              <w:rPr>
                <w:lang w:val="en-US"/>
              </w:rPr>
              <w:t>.</w:t>
            </w:r>
          </w:p>
          <w:p w14:paraId="73D06A10" w14:textId="77777777" w:rsidR="00DA250A" w:rsidRDefault="00DA250A" w:rsidP="00E22E17">
            <w:pPr>
              <w:pStyle w:val="B1"/>
            </w:pPr>
            <w:r w:rsidRPr="007351BA">
              <w:rPr>
                <w:lang w:val="en-US"/>
              </w:rPr>
              <w:lastRenderedPageBreak/>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1D81E35F" w14:textId="77777777" w:rsidR="00DA250A" w:rsidRDefault="00DA250A" w:rsidP="00E22E17">
            <w:pPr>
              <w:pStyle w:val="B1"/>
            </w:pPr>
            <w:r>
              <w:t>-</w:t>
            </w:r>
            <w:r>
              <w:tab/>
            </w:r>
            <w:r w:rsidRPr="000345A9">
              <w:t>There is no change in UE transmission power level, and no change in the level of P-MPR applied by the UE</w:t>
            </w:r>
            <w:r>
              <w:t>.</w:t>
            </w:r>
          </w:p>
          <w:p w14:paraId="1AFC7B38" w14:textId="77777777" w:rsidR="00DA250A" w:rsidRDefault="00DA250A" w:rsidP="00E22E17">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7EFC2572" w14:textId="77777777" w:rsidR="002A6604" w:rsidRDefault="00DA250A" w:rsidP="00E22E17">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630FE6AA" w14:textId="25ABA026" w:rsidR="00DA250A" w:rsidRPr="001D3DD1" w:rsidRDefault="002A6604" w:rsidP="00E22E17">
            <w:pPr>
              <w:pStyle w:val="B1"/>
              <w:rPr>
                <w:lang w:val="en-US"/>
              </w:rPr>
            </w:pPr>
            <w:r w:rsidRPr="007351BA">
              <w:rPr>
                <w:lang w:val="en-US"/>
              </w:rPr>
              <w:t>-</w:t>
            </w:r>
            <w:r w:rsidRPr="007351BA">
              <w:rPr>
                <w:lang w:val="en-US"/>
              </w:rPr>
              <w:tab/>
            </w:r>
            <w:r w:rsidRPr="002A6604">
              <w:rPr>
                <w:lang w:val="en-US"/>
              </w:rPr>
              <w:t>No UE specific and common TA updates.</w:t>
            </w:r>
          </w:p>
        </w:tc>
      </w:tr>
    </w:tbl>
    <w:p w14:paraId="0911CF4C" w14:textId="77777777" w:rsidR="0088399A" w:rsidRDefault="0088399A" w:rsidP="00122EBD">
      <w:pPr>
        <w:pStyle w:val="a3"/>
        <w:spacing w:afterLines="50" w:after="156"/>
        <w:jc w:val="both"/>
        <w:rPr>
          <w:rFonts w:cs="Arial"/>
          <w:b w:val="0"/>
          <w:noProof w:val="0"/>
          <w:sz w:val="20"/>
        </w:rPr>
      </w:pPr>
    </w:p>
    <w:p w14:paraId="685D6747" w14:textId="088FD340" w:rsidR="007C7B50" w:rsidRPr="000F4E43" w:rsidRDefault="007C7B50" w:rsidP="007C7B50">
      <w:pPr>
        <w:spacing w:after="120"/>
        <w:rPr>
          <w:rFonts w:ascii="Arial" w:hAnsi="Arial" w:cs="Arial"/>
          <w:b/>
        </w:rPr>
      </w:pPr>
      <w:r w:rsidRPr="000F4E43">
        <w:rPr>
          <w:rFonts w:ascii="Arial" w:hAnsi="Arial" w:cs="Arial"/>
          <w:b/>
        </w:rPr>
        <w:t>2. Actions:</w:t>
      </w:r>
    </w:p>
    <w:p w14:paraId="62500EEB" w14:textId="1AC00463"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DA250A">
        <w:rPr>
          <w:rFonts w:ascii="Arial" w:hAnsi="Arial" w:cs="Arial"/>
          <w:b/>
        </w:rPr>
        <w:t>1</w:t>
      </w:r>
      <w:r>
        <w:rPr>
          <w:rFonts w:ascii="Arial" w:hAnsi="Arial" w:cs="Arial"/>
          <w:b/>
        </w:rPr>
        <w:t>:</w:t>
      </w:r>
    </w:p>
    <w:p w14:paraId="34593E70" w14:textId="685F9022"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w:t>
      </w:r>
      <w:r w:rsidR="00DA250A">
        <w:rPr>
          <w:rFonts w:ascii="Arial" w:hAnsi="Arial" w:cs="Arial"/>
        </w:rPr>
        <w:t>1</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AE202B">
        <w:rPr>
          <w:rFonts w:ascii="Arial" w:hAnsi="Arial" w:cs="Arial"/>
        </w:rPr>
        <w:t xml:space="preserve"> for </w:t>
      </w:r>
      <w:r w:rsidR="007B715E">
        <w:rPr>
          <w:rFonts w:ascii="Arial" w:hAnsi="Arial" w:cs="Arial"/>
        </w:rPr>
        <w:t xml:space="preserve">the phase continuity requirements for </w:t>
      </w:r>
      <w:r w:rsidR="007B715E" w:rsidRPr="007B715E">
        <w:rPr>
          <w:rFonts w:ascii="Arial" w:hAnsi="Arial" w:cs="Arial"/>
        </w:rPr>
        <w:t>the duration of one OCC group with PUSCH</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577CCF0" w14:textId="77777777" w:rsidR="00EB0A2F" w:rsidRPr="00EB0A2F" w:rsidRDefault="00EB0A2F" w:rsidP="00EB0A2F">
      <w:pPr>
        <w:tabs>
          <w:tab w:val="left" w:pos="4685"/>
        </w:tabs>
        <w:overflowPunct/>
        <w:autoSpaceDE/>
        <w:autoSpaceDN/>
        <w:adjustRightInd/>
        <w:spacing w:after="120"/>
        <w:ind w:left="2268" w:hanging="2268"/>
        <w:textAlignment w:val="auto"/>
        <w:rPr>
          <w:rFonts w:ascii="Arial" w:eastAsia="宋体" w:hAnsi="Arial" w:cs="Arial"/>
          <w:bCs/>
        </w:rPr>
      </w:pPr>
      <w:r w:rsidRPr="00EB0A2F">
        <w:rPr>
          <w:rFonts w:ascii="Arial" w:eastAsia="宋体" w:hAnsi="Arial" w:cs="Arial"/>
          <w:bCs/>
        </w:rPr>
        <w:t>TSG-RAN WG4 Meeting #116-bis</w:t>
      </w:r>
      <w:r w:rsidRPr="00EB0A2F">
        <w:rPr>
          <w:rFonts w:ascii="Arial" w:eastAsia="宋体" w:hAnsi="Arial" w:cs="Arial"/>
          <w:bCs/>
        </w:rPr>
        <w:tab/>
        <w:t>13 - 17 Oct. 2025                    Prague, CZ</w:t>
      </w:r>
    </w:p>
    <w:p w14:paraId="3FFDEFB9" w14:textId="7B569522" w:rsidR="00EB0A2F" w:rsidRPr="00EB0A2F" w:rsidRDefault="00EB0A2F" w:rsidP="00EB0A2F">
      <w:pPr>
        <w:tabs>
          <w:tab w:val="left" w:pos="4685"/>
        </w:tabs>
        <w:overflowPunct/>
        <w:autoSpaceDE/>
        <w:autoSpaceDN/>
        <w:adjustRightInd/>
        <w:spacing w:after="120"/>
        <w:ind w:left="2268" w:hanging="2268"/>
        <w:textAlignment w:val="auto"/>
        <w:rPr>
          <w:rFonts w:ascii="Arial" w:eastAsia="宋体" w:hAnsi="Arial" w:cs="Arial"/>
          <w:bCs/>
        </w:rPr>
      </w:pPr>
      <w:r w:rsidRPr="00EB0A2F">
        <w:rPr>
          <w:rFonts w:ascii="Arial" w:eastAsia="宋体" w:hAnsi="Arial" w:cs="Arial"/>
          <w:bCs/>
        </w:rPr>
        <w:t>TSG-RAN WG4 Meeting #117</w:t>
      </w:r>
      <w:r w:rsidRPr="00EB0A2F">
        <w:rPr>
          <w:rFonts w:ascii="Arial" w:eastAsia="宋体" w:hAnsi="Arial" w:cs="Arial"/>
          <w:bCs/>
        </w:rPr>
        <w:tab/>
        <w:t xml:space="preserve">17 - 21 Nov. 2025                    </w:t>
      </w:r>
      <w:r w:rsidR="00764C5A" w:rsidRPr="00EB0A2F">
        <w:rPr>
          <w:rFonts w:ascii="Arial" w:eastAsia="宋体" w:hAnsi="Arial" w:cs="Arial"/>
          <w:bCs/>
        </w:rPr>
        <w:t>Dallas,</w:t>
      </w:r>
      <w:r w:rsidRPr="00EB0A2F">
        <w:rPr>
          <w:rFonts w:ascii="Arial" w:eastAsia="宋体" w:hAnsi="Arial" w:cs="Arial"/>
          <w:bCs/>
        </w:rPr>
        <w:t xml:space="preserve"> US</w:t>
      </w:r>
    </w:p>
    <w:p w14:paraId="1BFE0878" w14:textId="3AF1B349" w:rsidR="007B715E" w:rsidRPr="000F4F67" w:rsidRDefault="007B715E" w:rsidP="005D658A">
      <w:pPr>
        <w:tabs>
          <w:tab w:val="left" w:pos="4685"/>
        </w:tabs>
        <w:overflowPunct/>
        <w:autoSpaceDE/>
        <w:autoSpaceDN/>
        <w:adjustRightInd/>
        <w:spacing w:after="120"/>
        <w:ind w:left="2268" w:hanging="2268"/>
        <w:textAlignment w:val="auto"/>
        <w:rPr>
          <w:rFonts w:ascii="Arial" w:eastAsia="宋体" w:hAnsi="Arial" w:cs="Arial"/>
          <w:bCs/>
        </w:rPr>
      </w:pPr>
    </w:p>
    <w:sectPr w:rsidR="007B715E"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14C86" w14:textId="77777777" w:rsidR="00516892" w:rsidRDefault="00516892" w:rsidP="00EE27D8">
      <w:pPr>
        <w:spacing w:after="0"/>
      </w:pPr>
      <w:r>
        <w:separator/>
      </w:r>
    </w:p>
  </w:endnote>
  <w:endnote w:type="continuationSeparator" w:id="0">
    <w:p w14:paraId="6BDD2B9D" w14:textId="77777777" w:rsidR="00516892" w:rsidRDefault="00516892"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AAA27" w14:textId="77777777" w:rsidR="00516892" w:rsidRDefault="00516892" w:rsidP="00EE27D8">
      <w:pPr>
        <w:spacing w:after="0"/>
      </w:pPr>
      <w:r>
        <w:separator/>
      </w:r>
    </w:p>
  </w:footnote>
  <w:footnote w:type="continuationSeparator" w:id="0">
    <w:p w14:paraId="689CDCF3" w14:textId="77777777" w:rsidR="00516892" w:rsidRDefault="00516892"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1A2B3A"/>
    <w:rsid w:val="001E54EA"/>
    <w:rsid w:val="00207153"/>
    <w:rsid w:val="00214DC3"/>
    <w:rsid w:val="00222960"/>
    <w:rsid w:val="002517CF"/>
    <w:rsid w:val="00261C69"/>
    <w:rsid w:val="0029200A"/>
    <w:rsid w:val="002A6604"/>
    <w:rsid w:val="002B1A9C"/>
    <w:rsid w:val="002D015D"/>
    <w:rsid w:val="002D0A8D"/>
    <w:rsid w:val="002E79FD"/>
    <w:rsid w:val="003408AA"/>
    <w:rsid w:val="003566B4"/>
    <w:rsid w:val="0036323F"/>
    <w:rsid w:val="00372A99"/>
    <w:rsid w:val="00387102"/>
    <w:rsid w:val="003A43BF"/>
    <w:rsid w:val="003B4CD6"/>
    <w:rsid w:val="004006F7"/>
    <w:rsid w:val="004141E1"/>
    <w:rsid w:val="004403E5"/>
    <w:rsid w:val="0047381D"/>
    <w:rsid w:val="00486080"/>
    <w:rsid w:val="0049528D"/>
    <w:rsid w:val="004B63F9"/>
    <w:rsid w:val="004B6D2B"/>
    <w:rsid w:val="004D4FB9"/>
    <w:rsid w:val="004E7F14"/>
    <w:rsid w:val="00504FDE"/>
    <w:rsid w:val="005116C3"/>
    <w:rsid w:val="00516892"/>
    <w:rsid w:val="005213D5"/>
    <w:rsid w:val="0055695C"/>
    <w:rsid w:val="00564931"/>
    <w:rsid w:val="00582E6C"/>
    <w:rsid w:val="005B05CF"/>
    <w:rsid w:val="005D39D4"/>
    <w:rsid w:val="005D658A"/>
    <w:rsid w:val="00637C39"/>
    <w:rsid w:val="006407C1"/>
    <w:rsid w:val="00657A19"/>
    <w:rsid w:val="00670FAB"/>
    <w:rsid w:val="0068285B"/>
    <w:rsid w:val="006831F3"/>
    <w:rsid w:val="006D4D48"/>
    <w:rsid w:val="006E6B4A"/>
    <w:rsid w:val="00717821"/>
    <w:rsid w:val="0072213E"/>
    <w:rsid w:val="00734B6B"/>
    <w:rsid w:val="00735C02"/>
    <w:rsid w:val="00764C5A"/>
    <w:rsid w:val="00793B2E"/>
    <w:rsid w:val="007A5E07"/>
    <w:rsid w:val="007B4EF4"/>
    <w:rsid w:val="007B715E"/>
    <w:rsid w:val="007C33CF"/>
    <w:rsid w:val="007C7B50"/>
    <w:rsid w:val="007F06C8"/>
    <w:rsid w:val="00812573"/>
    <w:rsid w:val="0081776B"/>
    <w:rsid w:val="0088399A"/>
    <w:rsid w:val="008A1F45"/>
    <w:rsid w:val="008D5327"/>
    <w:rsid w:val="008E578F"/>
    <w:rsid w:val="00915B17"/>
    <w:rsid w:val="00916BCA"/>
    <w:rsid w:val="00956464"/>
    <w:rsid w:val="00984710"/>
    <w:rsid w:val="00985ACC"/>
    <w:rsid w:val="00991C8A"/>
    <w:rsid w:val="009B1E98"/>
    <w:rsid w:val="009D1A39"/>
    <w:rsid w:val="009D67BD"/>
    <w:rsid w:val="009D7DB4"/>
    <w:rsid w:val="00A36935"/>
    <w:rsid w:val="00A6440B"/>
    <w:rsid w:val="00A93B0B"/>
    <w:rsid w:val="00AA09AC"/>
    <w:rsid w:val="00AB603D"/>
    <w:rsid w:val="00AB631E"/>
    <w:rsid w:val="00AE202B"/>
    <w:rsid w:val="00B429EB"/>
    <w:rsid w:val="00B83C4C"/>
    <w:rsid w:val="00B84836"/>
    <w:rsid w:val="00B87140"/>
    <w:rsid w:val="00B935FE"/>
    <w:rsid w:val="00B9534D"/>
    <w:rsid w:val="00BB2EEC"/>
    <w:rsid w:val="00BD38E0"/>
    <w:rsid w:val="00C01A47"/>
    <w:rsid w:val="00C258D8"/>
    <w:rsid w:val="00C26D39"/>
    <w:rsid w:val="00C354E1"/>
    <w:rsid w:val="00C62D56"/>
    <w:rsid w:val="00C82668"/>
    <w:rsid w:val="00CD68C6"/>
    <w:rsid w:val="00D617D0"/>
    <w:rsid w:val="00D83B1F"/>
    <w:rsid w:val="00D83D72"/>
    <w:rsid w:val="00DA250A"/>
    <w:rsid w:val="00DB745E"/>
    <w:rsid w:val="00DC4F06"/>
    <w:rsid w:val="00DF75F5"/>
    <w:rsid w:val="00E12EFC"/>
    <w:rsid w:val="00E252D2"/>
    <w:rsid w:val="00E4006E"/>
    <w:rsid w:val="00E61E84"/>
    <w:rsid w:val="00EB0A2F"/>
    <w:rsid w:val="00EE27D8"/>
    <w:rsid w:val="00F107B6"/>
    <w:rsid w:val="00F14A23"/>
    <w:rsid w:val="00F14F5F"/>
    <w:rsid w:val="00F4043C"/>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表（文字列）,SGS Table Basic 1"/>
    <w:basedOn w:val="a1"/>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DA250A"/>
    <w:pPr>
      <w:ind w:left="568" w:hanging="284"/>
      <w:contextualSpacing w:val="0"/>
    </w:pPr>
    <w:rPr>
      <w:rFonts w:eastAsia="宋体"/>
    </w:rPr>
  </w:style>
  <w:style w:type="character" w:customStyle="1" w:styleId="B1Char">
    <w:name w:val="B1 Char"/>
    <w:link w:val="B1"/>
    <w:qFormat/>
    <w:rsid w:val="00DA250A"/>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DA250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8F310FC-D413-4942-A840-B1FAF8517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137</cp:revision>
  <dcterms:created xsi:type="dcterms:W3CDTF">2024-09-26T08:44:00Z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